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167"/>
        <w:gridCol w:w="6939"/>
      </w:tblGrid>
      <w:tr w:rsidR="005801C1" w:rsidRPr="00F428CF">
        <w:tc>
          <w:tcPr>
            <w:tcW w:w="1567" w:type="pct"/>
          </w:tcPr>
          <w:p w:rsidR="005801C1" w:rsidRDefault="00874B8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38175" cy="914400"/>
                  <wp:effectExtent l="19050" t="0" r="9525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1C1" w:rsidRDefault="005801C1">
            <w:pPr>
              <w:jc w:val="center"/>
              <w:rPr>
                <w:lang w:val="en-US"/>
              </w:rPr>
            </w:pPr>
          </w:p>
        </w:tc>
        <w:tc>
          <w:tcPr>
            <w:tcW w:w="3433" w:type="pct"/>
          </w:tcPr>
          <w:p w:rsidR="005801C1" w:rsidRDefault="00874B85">
            <w:pPr>
              <w:jc w:val="right"/>
              <w:rPr>
                <w:b/>
                <w:caps/>
                <w:sz w:val="52"/>
                <w:szCs w:val="52"/>
                <w:lang w:val="en-US"/>
              </w:rPr>
            </w:pPr>
            <w:r>
              <w:rPr>
                <w:b/>
                <w:caps/>
                <w:sz w:val="52"/>
                <w:szCs w:val="52"/>
                <w:lang w:val="en-US"/>
              </w:rPr>
              <w:t xml:space="preserve">Eminence </w:t>
            </w:r>
          </w:p>
          <w:p w:rsidR="005801C1" w:rsidRDefault="00874B85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H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IGH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P</w:t>
            </w:r>
            <w:r>
              <w:rPr>
                <w:rFonts w:ascii="Arial" w:hAnsi="Arial" w:cs="Arial"/>
                <w:caps/>
                <w:sz w:val="33"/>
                <w:szCs w:val="33"/>
                <w:lang w:val="en-US" w:eastAsia="en-US"/>
              </w:rPr>
              <w:t>erformance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C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EILING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P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>AINT</w:t>
            </w:r>
          </w:p>
        </w:tc>
      </w:tr>
      <w:tr w:rsidR="005801C1">
        <w:tc>
          <w:tcPr>
            <w:tcW w:w="1567" w:type="pct"/>
          </w:tcPr>
          <w:p w:rsidR="005801C1" w:rsidRDefault="005801C1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433" w:type="pct"/>
          </w:tcPr>
          <w:p w:rsidR="005801C1" w:rsidRDefault="00874B85">
            <w:pPr>
              <w:pStyle w:val="a6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Износостойкая Краска для Потолков</w:t>
            </w:r>
          </w:p>
          <w:p w:rsidR="005801C1" w:rsidRDefault="00874B85">
            <w:pPr>
              <w:pStyle w:val="6"/>
            </w:pPr>
            <w:r>
              <w:t>A27W01815</w:t>
            </w:r>
          </w:p>
        </w:tc>
      </w:tr>
    </w:tbl>
    <w:p w:rsidR="005801C1" w:rsidRDefault="005801C1">
      <w:pPr>
        <w:pStyle w:val="a5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158"/>
        <w:gridCol w:w="3159"/>
      </w:tblGrid>
      <w:tr w:rsidR="005801C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>
            <w:pPr>
              <w:rPr>
                <w:b/>
                <w:bCs/>
                <w:sz w:val="16"/>
                <w:u w:val="single"/>
              </w:rPr>
            </w:pPr>
          </w:p>
          <w:p w:rsidR="005801C1" w:rsidRDefault="00874B85">
            <w:pPr>
              <w:pStyle w:val="7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  <w:p w:rsidR="005801C1" w:rsidRDefault="005801C1">
            <w:pPr>
              <w:pStyle w:val="a6"/>
              <w:jc w:val="both"/>
              <w:rPr>
                <w:b w:val="0"/>
                <w:sz w:val="16"/>
                <w:szCs w:val="16"/>
              </w:rPr>
            </w:pPr>
          </w:p>
          <w:p w:rsidR="005801C1" w:rsidRDefault="00874B85">
            <w:pPr>
              <w:pStyle w:val="a6"/>
              <w:jc w:val="both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b w:val="0"/>
                <w:sz w:val="16"/>
                <w:szCs w:val="16"/>
              </w:rPr>
              <w:t>Износостойкая краска для потолков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Eminence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High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Performance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Ceiling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Paint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 – это ярко-белое, очень матовое покрытие с низким содержанием летучих органических соединений (</w:t>
            </w:r>
            <w:r>
              <w:rPr>
                <w:rFonts w:ascii="Times New Roman CYR" w:hAnsi="Times New Roman CYR"/>
                <w:b w:val="0"/>
                <w:bCs w:val="0"/>
                <w:sz w:val="16"/>
                <w:lang w:val="en-US"/>
              </w:rPr>
              <w:t>VOC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) и высокой укрывной способностью. </w:t>
            </w:r>
          </w:p>
          <w:p w:rsidR="005801C1" w:rsidRDefault="005801C1">
            <w:pPr>
              <w:pStyle w:val="a6"/>
              <w:jc w:val="both"/>
              <w:rPr>
                <w:rFonts w:ascii="Times New Roman CYR" w:hAnsi="Times New Roman CYR"/>
                <w:b w:val="0"/>
                <w:bCs w:val="0"/>
                <w:sz w:val="16"/>
              </w:rPr>
            </w:pPr>
          </w:p>
          <w:p w:rsidR="005801C1" w:rsidRDefault="00874B85">
            <w:pPr>
              <w:pStyle w:val="a6"/>
              <w:jc w:val="both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Краска предназначается для использования на необработанных, загрунтованных или ранее окрашенных потолках из </w:t>
            </w:r>
            <w:proofErr w:type="spellStart"/>
            <w:r>
              <w:rPr>
                <w:rFonts w:ascii="Times New Roman CYR" w:hAnsi="Times New Roman CYR"/>
                <w:b w:val="0"/>
                <w:bCs w:val="0"/>
                <w:sz w:val="16"/>
              </w:rPr>
              <w:t>гипсокартона</w:t>
            </w:r>
            <w:proofErr w:type="spellEnd"/>
            <w:r>
              <w:rPr>
                <w:rFonts w:ascii="Times New Roman CYR" w:hAnsi="Times New Roman CYR"/>
                <w:b w:val="0"/>
                <w:bCs w:val="0"/>
                <w:sz w:val="16"/>
              </w:rPr>
              <w:t>, штукатурки, дерева, каменной/ кирпичной кладки.</w:t>
            </w:r>
          </w:p>
          <w:p w:rsidR="005801C1" w:rsidRDefault="005801C1">
            <w:pPr>
              <w:pStyle w:val="a6"/>
              <w:jc w:val="both"/>
              <w:rPr>
                <w:rFonts w:ascii="Times New Roman CYR" w:hAnsi="Times New Roman CYR"/>
                <w:b w:val="0"/>
                <w:bCs w:val="0"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345"/>
              <w:gridCol w:w="143"/>
              <w:gridCol w:w="132"/>
              <w:gridCol w:w="139"/>
              <w:gridCol w:w="1112"/>
            </w:tblGrid>
            <w:tr w:rsidR="005801C1">
              <w:tc>
                <w:tcPr>
                  <w:tcW w:w="2108" w:type="dxa"/>
                  <w:gridSpan w:val="2"/>
                </w:tcPr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Цвет:</w:t>
                  </w:r>
                </w:p>
                <w:p w:rsidR="005801C1" w:rsidRDefault="00874B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Коэффициент Светоотражения</w:t>
                  </w:r>
                </w:p>
              </w:tc>
              <w:tc>
                <w:tcPr>
                  <w:tcW w:w="1433" w:type="dxa"/>
                  <w:gridSpan w:val="4"/>
                </w:tcPr>
                <w:p w:rsidR="005801C1" w:rsidRDefault="00874B85">
                  <w:pPr>
                    <w:jc w:val="right"/>
                    <w:rPr>
                      <w:rFonts w:ascii="Times New Roman CYR" w:hAnsi="Times New Roman CYR"/>
                      <w:sz w:val="16"/>
                    </w:rPr>
                  </w:pPr>
                  <w:r>
                    <w:rPr>
                      <w:rFonts w:ascii="Times New Roman CYR" w:hAnsi="Times New Roman CYR"/>
                      <w:sz w:val="16"/>
                    </w:rPr>
                    <w:t>ярко-белый</w:t>
                  </w:r>
                </w:p>
                <w:p w:rsidR="005801C1" w:rsidRDefault="005801C1">
                  <w:pPr>
                    <w:jc w:val="right"/>
                    <w:rPr>
                      <w:rFonts w:ascii="Times New Roman CYR" w:hAnsi="Times New Roman CYR"/>
                      <w:sz w:val="16"/>
                    </w:rPr>
                  </w:pPr>
                </w:p>
                <w:p w:rsidR="005801C1" w:rsidRDefault="00874B85">
                  <w:pPr>
                    <w:jc w:val="right"/>
                    <w:rPr>
                      <w:sz w:val="16"/>
                    </w:rPr>
                  </w:pPr>
                  <w:r>
                    <w:rPr>
                      <w:rFonts w:ascii="Times New Roman CYR" w:hAnsi="Times New Roman CYR"/>
                      <w:sz w:val="16"/>
                    </w:rPr>
                    <w:t>92</w:t>
                  </w:r>
                </w:p>
              </w:tc>
            </w:tr>
            <w:tr w:rsidR="005801C1">
              <w:trPr>
                <w:trHeight w:val="137"/>
              </w:trPr>
              <w:tc>
                <w:tcPr>
                  <w:tcW w:w="1620" w:type="dxa"/>
                </w:tcPr>
                <w:p w:rsidR="005801C1" w:rsidRDefault="005801C1">
                  <w:pPr>
                    <w:rPr>
                      <w:b/>
                      <w:bCs/>
                      <w:sz w:val="16"/>
                    </w:rPr>
                  </w:pPr>
                </w:p>
                <w:p w:rsidR="005801C1" w:rsidRDefault="00874B8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</w:rPr>
                    <w:t>Укрывистость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921" w:type="dxa"/>
                  <w:gridSpan w:val="5"/>
                </w:tcPr>
                <w:p w:rsidR="005801C1" w:rsidRDefault="005801C1">
                  <w:pPr>
                    <w:jc w:val="right"/>
                    <w:rPr>
                      <w:sz w:val="16"/>
                    </w:rPr>
                  </w:pPr>
                </w:p>
                <w:p w:rsidR="005801C1" w:rsidRDefault="00874B85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8.6 – 9.8 м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  <w:r>
                    <w:rPr>
                      <w:sz w:val="16"/>
                    </w:rPr>
                    <w:t xml:space="preserve">/л </w:t>
                  </w:r>
                </w:p>
                <w:p w:rsidR="005801C1" w:rsidRDefault="00874B8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(350–400 фут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  <w:r>
                    <w:rPr>
                      <w:sz w:val="16"/>
                    </w:rPr>
                    <w:t>/галлон)</w:t>
                  </w:r>
                </w:p>
              </w:tc>
            </w:tr>
            <w:tr w:rsidR="005801C1">
              <w:trPr>
                <w:trHeight w:val="1035"/>
              </w:trPr>
              <w:tc>
                <w:tcPr>
                  <w:tcW w:w="1620" w:type="dxa"/>
                </w:tcPr>
                <w:p w:rsidR="005801C1" w:rsidRDefault="005801C1">
                  <w:pPr>
                    <w:rPr>
                      <w:sz w:val="16"/>
                    </w:rPr>
                  </w:pPr>
                </w:p>
              </w:tc>
              <w:tc>
                <w:tcPr>
                  <w:tcW w:w="1921" w:type="dxa"/>
                  <w:gridSpan w:val="5"/>
                </w:tcPr>
                <w:p w:rsidR="005801C1" w:rsidRDefault="00874B85">
                  <w:pPr>
                    <w:pStyle w:val="21"/>
                  </w:pPr>
                  <w:r>
                    <w:t xml:space="preserve">при толщине </w:t>
                  </w:r>
                </w:p>
                <w:p w:rsidR="005801C1" w:rsidRDefault="00874B85">
                  <w:pPr>
                    <w:pStyle w:val="21"/>
                  </w:pPr>
                  <w:r>
                    <w:t xml:space="preserve">мокрого слоя </w:t>
                  </w:r>
                </w:p>
                <w:p w:rsidR="005801C1" w:rsidRDefault="00874B85">
                  <w:pPr>
                    <w:pStyle w:val="21"/>
                  </w:pPr>
                  <w:r>
                    <w:t xml:space="preserve">4 мил (101.6 мкм) и </w:t>
                  </w:r>
                </w:p>
                <w:p w:rsidR="005801C1" w:rsidRDefault="00874B85">
                  <w:pPr>
                    <w:pStyle w:val="21"/>
                  </w:pPr>
                  <w:r>
                    <w:t xml:space="preserve">высохшего слоя </w:t>
                  </w:r>
                </w:p>
                <w:p w:rsidR="005801C1" w:rsidRDefault="00874B8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1.2 мил (30.4 мкм)</w:t>
                  </w:r>
                </w:p>
              </w:tc>
            </w:tr>
            <w:tr w:rsidR="005801C1">
              <w:tc>
                <w:tcPr>
                  <w:tcW w:w="3541" w:type="dxa"/>
                  <w:gridSpan w:val="6"/>
                </w:tcPr>
                <w:p w:rsidR="005801C1" w:rsidRDefault="00874B85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Время высыхания,</w:t>
                  </w:r>
                  <w:r>
                    <w:rPr>
                      <w:b/>
                      <w:bCs/>
                      <w:sz w:val="16"/>
                    </w:rPr>
                    <w:t xml:space="preserve"> при 25</w:t>
                  </w:r>
                  <w:r>
                    <w:rPr>
                      <w:b/>
                      <w:bCs/>
                      <w:sz w:val="16"/>
                    </w:rPr>
                    <w:sym w:font="Symbol" w:char="F0B0"/>
                  </w:r>
                  <w:r>
                    <w:rPr>
                      <w:b/>
                      <w:bCs/>
                      <w:sz w:val="16"/>
                    </w:rPr>
                    <w:t>С (77</w:t>
                  </w:r>
                  <w:r>
                    <w:rPr>
                      <w:b/>
                      <w:bCs/>
                      <w:sz w:val="16"/>
                    </w:rPr>
                    <w:sym w:font="Symbol" w:char="F0B0"/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F</w:t>
                  </w:r>
                  <w:r>
                    <w:rPr>
                      <w:b/>
                      <w:bCs/>
                      <w:sz w:val="16"/>
                    </w:rPr>
                    <w:t>) и относительной влажности 50%:</w:t>
                  </w:r>
                </w:p>
              </w:tc>
            </w:tr>
            <w:tr w:rsidR="005801C1">
              <w:tc>
                <w:tcPr>
                  <w:tcW w:w="3541" w:type="dxa"/>
                  <w:gridSpan w:val="6"/>
                </w:tcPr>
                <w:p w:rsidR="005801C1" w:rsidRDefault="00874B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Зависит от температуры и влажности</w:t>
                  </w: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5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Высыхание «до </w:t>
                  </w:r>
                  <w:proofErr w:type="spellStart"/>
                  <w:r>
                    <w:rPr>
                      <w:sz w:val="16"/>
                    </w:rPr>
                    <w:t>отлипа</w:t>
                  </w:r>
                  <w:proofErr w:type="spellEnd"/>
                  <w:r>
                    <w:rPr>
                      <w:sz w:val="16"/>
                    </w:rPr>
                    <w:t>»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 час</w:t>
                  </w: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5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Полное высыхание (для нанесения второго слоя):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4 часа</w:t>
                  </w: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5801C1">
                  <w:pPr>
                    <w:rPr>
                      <w:b/>
                      <w:bCs/>
                      <w:sz w:val="16"/>
                      <w:lang w:val="en-US"/>
                    </w:rPr>
                  </w:pPr>
                </w:p>
                <w:p w:rsidR="005801C1" w:rsidRDefault="00874B85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Глянцевитость:</w:t>
                  </w:r>
                </w:p>
                <w:p w:rsidR="005801C1" w:rsidRDefault="005801C1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5801C1">
                  <w:pPr>
                    <w:jc w:val="right"/>
                    <w:rPr>
                      <w:sz w:val="16"/>
                      <w:lang w:val="en-US"/>
                    </w:rPr>
                  </w:pPr>
                </w:p>
                <w:p w:rsidR="005801C1" w:rsidRDefault="00874B85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0 – 5 единиц под углом 85</w:t>
                  </w:r>
                  <w:r>
                    <w:rPr>
                      <w:sz w:val="16"/>
                    </w:rPr>
                    <w:sym w:font="Symbol" w:char="F0B0"/>
                  </w: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tabs>
                      <w:tab w:val="right" w:pos="3152"/>
                    </w:tabs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Температура воспламенения: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Не применяется</w:t>
                  </w: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3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5801C1">
                  <w:pPr>
                    <w:rPr>
                      <w:b/>
                      <w:bCs/>
                      <w:sz w:val="16"/>
                    </w:rPr>
                  </w:pPr>
                </w:p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Колеровка с использованием системы </w:t>
                  </w:r>
                </w:p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  <w:lang w:val="en-US"/>
                    </w:rPr>
                    <w:t>Blend</w:t>
                  </w:r>
                  <w:r>
                    <w:rPr>
                      <w:b/>
                      <w:bCs/>
                      <w:sz w:val="16"/>
                    </w:rPr>
                    <w:t>-</w:t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A</w:t>
                  </w:r>
                  <w:r>
                    <w:rPr>
                      <w:b/>
                      <w:bCs/>
                      <w:sz w:val="16"/>
                    </w:rPr>
                    <w:t>-</w:t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Color</w:t>
                  </w:r>
                  <w:r>
                    <w:rPr>
                      <w:b/>
                      <w:bCs/>
                      <w:sz w:val="16"/>
                    </w:rPr>
                    <w:t>:</w:t>
                  </w:r>
                </w:p>
                <w:tbl>
                  <w:tblPr>
                    <w:tblW w:w="3357" w:type="dxa"/>
                    <w:tblLook w:val="04A0" w:firstRow="1" w:lastRow="0" w:firstColumn="1" w:lastColumn="0" w:noHBand="0" w:noVBand="1"/>
                  </w:tblPr>
                  <w:tblGrid>
                    <w:gridCol w:w="1026"/>
                    <w:gridCol w:w="1226"/>
                    <w:gridCol w:w="1105"/>
                  </w:tblGrid>
                  <w:tr w:rsidR="005801C1">
                    <w:tc>
                      <w:tcPr>
                        <w:tcW w:w="1026" w:type="dxa"/>
                      </w:tcPr>
                      <w:p w:rsidR="005801C1" w:rsidRDefault="00874B85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База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5801C1" w:rsidRDefault="00874B85">
                        <w:pPr>
                          <w:pStyle w:val="6"/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Грамм/Литр</w:t>
                        </w:r>
                      </w:p>
                      <w:p w:rsidR="005801C1" w:rsidRDefault="00874B85">
                        <w:pPr>
                          <w:pStyle w:val="6"/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(Унций/галл.)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801C1" w:rsidRDefault="00874B85">
                        <w:pPr>
                          <w:pStyle w:val="6"/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16"/>
                          </w:rPr>
                          <w:t>Интенсив-ность</w:t>
                        </w:r>
                        <w:proofErr w:type="spellEnd"/>
                        <w:proofErr w:type="gramEnd"/>
                      </w:p>
                    </w:tc>
                  </w:tr>
                  <w:tr w:rsidR="005801C1">
                    <w:tc>
                      <w:tcPr>
                        <w:tcW w:w="1026" w:type="dxa"/>
                      </w:tcPr>
                      <w:p w:rsidR="005801C1" w:rsidRDefault="00874B85">
                        <w:pPr>
                          <w:pStyle w:val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Ярко-Белая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5801C1" w:rsidRDefault="00874B85">
                        <w:pPr>
                          <w:pStyle w:val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0–15 (0–2)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801C1" w:rsidRDefault="00874B85">
                        <w:pPr>
                          <w:pStyle w:val="20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SherCOLOR</w:t>
                        </w:r>
                        <w:proofErr w:type="spellEnd"/>
                      </w:p>
                    </w:tc>
                  </w:tr>
                </w:tbl>
                <w:p w:rsidR="005801C1" w:rsidRDefault="005801C1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5801C1">
                  <w:pPr>
                    <w:tabs>
                      <w:tab w:val="right" w:pos="3152"/>
                    </w:tabs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5801C1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2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5801C1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5801C1">
                  <w:pPr>
                    <w:jc w:val="right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2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Тип связующего вещества</w:t>
                  </w:r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pStyle w:val="2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Винил-Акрил</w:t>
                  </w:r>
                </w:p>
              </w:tc>
            </w:tr>
            <w:tr w:rsidR="005801C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1C1" w:rsidRDefault="00874B85">
                  <w:pPr>
                    <w:pStyle w:val="20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A27W01815</w:t>
                  </w:r>
                </w:p>
              </w:tc>
            </w:tr>
          </w:tbl>
          <w:p w:rsidR="005801C1" w:rsidRDefault="00874B85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Летучие органические соединения (без учета летучих компонентов </w:t>
            </w:r>
            <w:r>
              <w:rPr>
                <w:b/>
                <w:bCs/>
                <w:sz w:val="16"/>
              </w:rPr>
              <w:t>растворителей):</w:t>
            </w:r>
          </w:p>
          <w:p w:rsidR="005801C1" w:rsidRDefault="00874B85">
            <w:pPr>
              <w:pStyle w:val="20"/>
              <w:tabs>
                <w:tab w:val="clear" w:pos="1620"/>
              </w:tabs>
              <w:rPr>
                <w:sz w:val="16"/>
              </w:rPr>
            </w:pPr>
            <w:r>
              <w:rPr>
                <w:sz w:val="16"/>
              </w:rPr>
              <w:tab/>
              <w:t>44 г/л; 0.37 фунт/галл.</w:t>
            </w:r>
          </w:p>
          <w:tbl>
            <w:tblPr>
              <w:tblW w:w="3137" w:type="dxa"/>
              <w:tblLook w:val="04A0" w:firstRow="1" w:lastRow="0" w:firstColumn="1" w:lastColumn="0" w:noHBand="0" w:noVBand="1"/>
            </w:tblPr>
            <w:tblGrid>
              <w:gridCol w:w="1792"/>
              <w:gridCol w:w="296"/>
              <w:gridCol w:w="1049"/>
            </w:tblGrid>
            <w:tr w:rsidR="005801C1">
              <w:tc>
                <w:tcPr>
                  <w:tcW w:w="1792" w:type="dxa"/>
                </w:tcPr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Твердых частиц </w:t>
                  </w:r>
                </w:p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(по объему):</w:t>
                  </w:r>
                </w:p>
              </w:tc>
              <w:tc>
                <w:tcPr>
                  <w:tcW w:w="1345" w:type="dxa"/>
                  <w:gridSpan w:val="2"/>
                </w:tcPr>
                <w:p w:rsidR="005801C1" w:rsidRDefault="00874B85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 xml:space="preserve">29 </w:t>
                  </w:r>
                  <w:r>
                    <w:rPr>
                      <w:sz w:val="16"/>
                    </w:rPr>
                    <w:sym w:font="Symbol" w:char="F0B1"/>
                  </w:r>
                  <w:r>
                    <w:rPr>
                      <w:sz w:val="16"/>
                    </w:rPr>
                    <w:t xml:space="preserve"> 2%</w:t>
                  </w:r>
                </w:p>
              </w:tc>
            </w:tr>
            <w:tr w:rsidR="005801C1">
              <w:tc>
                <w:tcPr>
                  <w:tcW w:w="1792" w:type="dxa"/>
                </w:tcPr>
                <w:p w:rsidR="005801C1" w:rsidRDefault="005801C1">
                  <w:pPr>
                    <w:rPr>
                      <w:b/>
                      <w:bCs/>
                      <w:sz w:val="16"/>
                      <w:lang w:val="en-US"/>
                    </w:rPr>
                  </w:pPr>
                </w:p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Твердых частиц</w:t>
                  </w:r>
                </w:p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(по массе):</w:t>
                  </w:r>
                </w:p>
              </w:tc>
              <w:tc>
                <w:tcPr>
                  <w:tcW w:w="1345" w:type="dxa"/>
                  <w:gridSpan w:val="2"/>
                </w:tcPr>
                <w:p w:rsidR="005801C1" w:rsidRDefault="005801C1">
                  <w:pPr>
                    <w:tabs>
                      <w:tab w:val="right" w:pos="3152"/>
                    </w:tabs>
                    <w:jc w:val="right"/>
                    <w:rPr>
                      <w:sz w:val="16"/>
                      <w:lang w:val="en-US"/>
                    </w:rPr>
                  </w:pPr>
                </w:p>
                <w:p w:rsidR="005801C1" w:rsidRDefault="00874B85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 xml:space="preserve">49 </w:t>
                  </w:r>
                  <w:r>
                    <w:rPr>
                      <w:sz w:val="16"/>
                    </w:rPr>
                    <w:sym w:font="Symbol" w:char="F0B1"/>
                  </w:r>
                  <w:r>
                    <w:rPr>
                      <w:sz w:val="16"/>
                    </w:rPr>
                    <w:t xml:space="preserve"> 2%</w:t>
                  </w:r>
                </w:p>
              </w:tc>
            </w:tr>
            <w:tr w:rsidR="005801C1">
              <w:tc>
                <w:tcPr>
                  <w:tcW w:w="2088" w:type="dxa"/>
                  <w:gridSpan w:val="2"/>
                </w:tcPr>
                <w:p w:rsidR="005801C1" w:rsidRDefault="005801C1">
                  <w:pPr>
                    <w:rPr>
                      <w:b/>
                      <w:bCs/>
                      <w:sz w:val="16"/>
                    </w:rPr>
                  </w:pPr>
                </w:p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Масса в галлоне </w:t>
                  </w:r>
                </w:p>
                <w:p w:rsidR="005801C1" w:rsidRDefault="00874B85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(= 3.785 литрам) краски:</w:t>
                  </w:r>
                </w:p>
              </w:tc>
              <w:tc>
                <w:tcPr>
                  <w:tcW w:w="985" w:type="dxa"/>
                </w:tcPr>
                <w:p w:rsidR="005801C1" w:rsidRDefault="005801C1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</w:p>
                <w:p w:rsidR="005801C1" w:rsidRDefault="00874B85">
                  <w:pPr>
                    <w:tabs>
                      <w:tab w:val="right" w:pos="3152"/>
                    </w:tabs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5.3 кг</w:t>
                  </w:r>
                </w:p>
                <w:p w:rsidR="005801C1" w:rsidRDefault="00874B85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(11.</w:t>
                  </w:r>
                  <w:r>
                    <w:rPr>
                      <w:sz w:val="16"/>
                    </w:rPr>
                    <w:t>6</w:t>
                  </w:r>
                  <w:r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</w:rPr>
                    <w:t>фунт</w:t>
                  </w:r>
                  <w:r>
                    <w:rPr>
                      <w:sz w:val="16"/>
                      <w:lang w:val="en-US"/>
                    </w:rPr>
                    <w:t>.)</w:t>
                  </w:r>
                </w:p>
              </w:tc>
            </w:tr>
          </w:tbl>
          <w:p w:rsidR="005801C1" w:rsidRDefault="005801C1">
            <w:pPr>
              <w:ind w:left="900"/>
              <w:rPr>
                <w:sz w:val="16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5801C1" w:rsidRDefault="005801C1">
            <w:pPr>
              <w:rPr>
                <w:sz w:val="16"/>
              </w:rPr>
            </w:pPr>
          </w:p>
          <w:p w:rsidR="005801C1" w:rsidRDefault="00874B85">
            <w:pPr>
              <w:pStyle w:val="8"/>
              <w:rPr>
                <w:sz w:val="16"/>
              </w:rPr>
            </w:pPr>
            <w:r>
              <w:rPr>
                <w:sz w:val="16"/>
              </w:rPr>
              <w:t>ТЕХНИЧЕСКИЕ УСЛОВИЯ</w:t>
            </w:r>
          </w:p>
          <w:p w:rsidR="005801C1" w:rsidRDefault="005801C1">
            <w:pPr>
              <w:rPr>
                <w:sz w:val="16"/>
              </w:rPr>
            </w:pPr>
          </w:p>
          <w:p w:rsidR="005801C1" w:rsidRDefault="00874B85">
            <w:pPr>
              <w:pStyle w:val="3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Покрытие </w:t>
            </w:r>
            <w:r>
              <w:rPr>
                <w:sz w:val="16"/>
                <w:lang w:val="en-US"/>
              </w:rPr>
              <w:t>Eminence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High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Performance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Ceiling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Paint</w:t>
            </w:r>
            <w:r>
              <w:rPr>
                <w:sz w:val="16"/>
              </w:rPr>
              <w:t xml:space="preserve"> можно наносить непосредственно на уже окрашенные поверхности или неокрашенный </w:t>
            </w:r>
            <w:proofErr w:type="spellStart"/>
            <w:r>
              <w:rPr>
                <w:sz w:val="16"/>
              </w:rPr>
              <w:t>гипсокартон</w:t>
            </w:r>
            <w:proofErr w:type="spellEnd"/>
            <w:r>
              <w:rPr>
                <w:sz w:val="16"/>
              </w:rPr>
              <w:t xml:space="preserve">, штукатурку (отвержденную с коэффициентом рН менее 9) и древесину без выделения танина. </w:t>
            </w:r>
          </w:p>
          <w:p w:rsidR="005801C1" w:rsidRDefault="005801C1">
            <w:pPr>
              <w:pStyle w:val="30"/>
              <w:rPr>
                <w:sz w:val="16"/>
              </w:rPr>
            </w:pPr>
          </w:p>
          <w:p w:rsidR="005801C1" w:rsidRDefault="00874B85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Гипсокартон</w:t>
            </w:r>
            <w:proofErr w:type="spellEnd"/>
          </w:p>
          <w:p w:rsidR="005801C1" w:rsidRDefault="00874B85">
            <w:pPr>
              <w:tabs>
                <w:tab w:val="left" w:pos="0"/>
              </w:tabs>
              <w:rPr>
                <w:sz w:val="16"/>
                <w:lang w:val="en-US"/>
              </w:rPr>
            </w:pPr>
            <w:r>
              <w:rPr>
                <w:sz w:val="16"/>
              </w:rPr>
              <w:t>Загрунтовать</w:t>
            </w:r>
            <w:r>
              <w:rPr>
                <w:sz w:val="16"/>
                <w:lang w:val="en-US"/>
              </w:rPr>
              <w:t xml:space="preserve"> 2 </w:t>
            </w:r>
            <w:r>
              <w:rPr>
                <w:sz w:val="16"/>
              </w:rPr>
              <w:t>слоями</w:t>
            </w:r>
            <w:r>
              <w:rPr>
                <w:sz w:val="16"/>
                <w:lang w:val="en-US"/>
              </w:rPr>
              <w:t xml:space="preserve"> Eminence High Performance Ceiling Paint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ли</w:t>
            </w:r>
          </w:p>
          <w:p w:rsidR="005801C1" w:rsidRDefault="005801C1">
            <w:pPr>
              <w:tabs>
                <w:tab w:val="left" w:pos="0"/>
              </w:tabs>
              <w:rPr>
                <w:sz w:val="16"/>
                <w:lang w:val="en-US"/>
              </w:rPr>
            </w:pPr>
          </w:p>
          <w:p w:rsidR="005801C1" w:rsidRDefault="00874B85">
            <w:pPr>
              <w:pStyle w:val="3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1 </w:t>
            </w:r>
            <w:r>
              <w:rPr>
                <w:b w:val="0"/>
                <w:sz w:val="16"/>
                <w:szCs w:val="16"/>
              </w:rPr>
              <w:t>слой</w:t>
            </w:r>
            <w:r>
              <w:rPr>
                <w:b w:val="0"/>
                <w:sz w:val="16"/>
                <w:szCs w:val="16"/>
                <w:lang w:val="en-US"/>
              </w:rPr>
              <w:t>:</w:t>
            </w:r>
            <w:r>
              <w:rPr>
                <w:b w:val="0"/>
                <w:sz w:val="16"/>
                <w:szCs w:val="16"/>
                <w:lang w:val="en-US"/>
              </w:rPr>
              <w:tab/>
              <w:t xml:space="preserve">Premium Wall &amp; Wood Primer      </w:t>
            </w:r>
            <w:r>
              <w:rPr>
                <w:b w:val="0"/>
                <w:bCs w:val="0"/>
                <w:sz w:val="16"/>
                <w:szCs w:val="16"/>
              </w:rPr>
              <w:t>или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Multi-Purpose Primer</w:t>
            </w:r>
          </w:p>
          <w:p w:rsidR="005801C1" w:rsidRDefault="005801C1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</w:p>
          <w:p w:rsidR="005801C1" w:rsidRDefault="00874B85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или</w:t>
            </w:r>
            <w:r>
              <w:rPr>
                <w:sz w:val="16"/>
                <w:lang w:val="en-US"/>
              </w:rPr>
              <w:t xml:space="preserve"> 2 </w:t>
            </w:r>
            <w:r>
              <w:rPr>
                <w:sz w:val="16"/>
              </w:rPr>
              <w:t>слоя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ab/>
              <w:t>Eminence High Performance Ceiling Paint</w:t>
            </w:r>
          </w:p>
          <w:p w:rsidR="005801C1" w:rsidRDefault="005801C1">
            <w:pPr>
              <w:pStyle w:val="30"/>
              <w:rPr>
                <w:sz w:val="16"/>
                <w:lang w:val="en-US"/>
              </w:rPr>
            </w:pPr>
          </w:p>
          <w:p w:rsidR="005801C1" w:rsidRDefault="00874B85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</w:rPr>
              <w:t>Кирпичная</w:t>
            </w:r>
            <w:r>
              <w:rPr>
                <w:sz w:val="16"/>
                <w:lang w:val="en-US"/>
              </w:rPr>
              <w:t>/ K</w:t>
            </w:r>
            <w:proofErr w:type="spellStart"/>
            <w:r>
              <w:rPr>
                <w:sz w:val="16"/>
              </w:rPr>
              <w:t>аменная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кладка</w:t>
            </w:r>
          </w:p>
          <w:p w:rsidR="005801C1" w:rsidRDefault="00874B85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слой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ab/>
            </w:r>
            <w:proofErr w:type="spellStart"/>
            <w:r>
              <w:rPr>
                <w:sz w:val="16"/>
                <w:lang w:val="en-US"/>
              </w:rPr>
              <w:t>Loxon</w:t>
            </w:r>
            <w:proofErr w:type="spellEnd"/>
            <w:r>
              <w:rPr>
                <w:sz w:val="16"/>
                <w:lang w:val="en-US"/>
              </w:rPr>
              <w:t xml:space="preserve"> Concrete &amp; Masonry Primer</w:t>
            </w:r>
          </w:p>
          <w:p w:rsidR="005801C1" w:rsidRDefault="00874B85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или</w:t>
            </w:r>
            <w:r>
              <w:rPr>
                <w:sz w:val="16"/>
                <w:lang w:val="en-US"/>
              </w:rPr>
              <w:t xml:space="preserve"> 2 </w:t>
            </w:r>
            <w:r>
              <w:rPr>
                <w:sz w:val="16"/>
              </w:rPr>
              <w:t>слоя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ab/>
              <w:t>Eminence High Performance Ceiling Paint</w:t>
            </w:r>
          </w:p>
          <w:p w:rsidR="005801C1" w:rsidRDefault="005801C1">
            <w:pPr>
              <w:pStyle w:val="30"/>
              <w:rPr>
                <w:sz w:val="16"/>
                <w:lang w:val="en-US"/>
              </w:rPr>
            </w:pPr>
          </w:p>
          <w:p w:rsidR="005801C1" w:rsidRDefault="00874B85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</w:rPr>
              <w:t>Штукатурка</w:t>
            </w:r>
          </w:p>
          <w:p w:rsidR="005801C1" w:rsidRDefault="00874B85">
            <w:pPr>
              <w:tabs>
                <w:tab w:val="left" w:pos="0"/>
              </w:tabs>
              <w:rPr>
                <w:sz w:val="16"/>
                <w:lang w:val="en-US"/>
              </w:rPr>
            </w:pPr>
            <w:r>
              <w:rPr>
                <w:sz w:val="16"/>
              </w:rPr>
              <w:t>Загрунтовать</w:t>
            </w:r>
            <w:r>
              <w:rPr>
                <w:sz w:val="16"/>
                <w:lang w:val="en-US"/>
              </w:rPr>
              <w:t xml:space="preserve"> 2 </w:t>
            </w:r>
            <w:r>
              <w:rPr>
                <w:sz w:val="16"/>
              </w:rPr>
              <w:t>слоями</w:t>
            </w:r>
            <w:r>
              <w:rPr>
                <w:sz w:val="16"/>
                <w:lang w:val="en-US"/>
              </w:rPr>
              <w:t xml:space="preserve"> Eminence High Performance Ceiling Paint </w:t>
            </w:r>
            <w:r>
              <w:rPr>
                <w:sz w:val="16"/>
              </w:rPr>
              <w:t>или</w:t>
            </w:r>
          </w:p>
          <w:p w:rsidR="005801C1" w:rsidRDefault="005801C1">
            <w:pPr>
              <w:tabs>
                <w:tab w:val="left" w:pos="0"/>
              </w:tabs>
              <w:rPr>
                <w:sz w:val="16"/>
                <w:lang w:val="en-US"/>
              </w:rPr>
            </w:pPr>
          </w:p>
          <w:p w:rsidR="005801C1" w:rsidRDefault="00874B85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слой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ab/>
              <w:t>Premium Wall &amp; Wood Primer</w:t>
            </w:r>
          </w:p>
          <w:p w:rsidR="005801C1" w:rsidRDefault="00874B85">
            <w:pPr>
              <w:pStyle w:val="30"/>
              <w:ind w:left="1134" w:hanging="1134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 xml:space="preserve">1 </w:t>
            </w:r>
            <w:r>
              <w:rPr>
                <w:b w:val="0"/>
                <w:sz w:val="16"/>
              </w:rPr>
              <w:t>или</w:t>
            </w:r>
            <w:r>
              <w:rPr>
                <w:b w:val="0"/>
                <w:sz w:val="16"/>
                <w:lang w:val="en-US"/>
              </w:rPr>
              <w:t xml:space="preserve"> 2 </w:t>
            </w:r>
            <w:r>
              <w:rPr>
                <w:b w:val="0"/>
                <w:sz w:val="16"/>
              </w:rPr>
              <w:t>слоя</w:t>
            </w:r>
            <w:r>
              <w:rPr>
                <w:b w:val="0"/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ab/>
            </w:r>
            <w:r>
              <w:rPr>
                <w:b w:val="0"/>
                <w:sz w:val="16"/>
                <w:lang w:val="en-US"/>
              </w:rPr>
              <w:t>Eminence High Performance Ceiling Paint</w:t>
            </w:r>
          </w:p>
          <w:p w:rsidR="005801C1" w:rsidRDefault="005801C1">
            <w:pPr>
              <w:pStyle w:val="30"/>
              <w:rPr>
                <w:sz w:val="16"/>
                <w:lang w:val="en-US"/>
              </w:rPr>
            </w:pPr>
          </w:p>
          <w:p w:rsidR="005801C1" w:rsidRDefault="00874B85">
            <w:pPr>
              <w:pStyle w:val="30"/>
              <w:rPr>
                <w:sz w:val="16"/>
                <w:lang w:val="en-US"/>
              </w:rPr>
            </w:pPr>
            <w:r>
              <w:rPr>
                <w:sz w:val="16"/>
              </w:rPr>
              <w:t>Дерево</w:t>
            </w:r>
          </w:p>
          <w:p w:rsidR="005801C1" w:rsidRDefault="00874B85">
            <w:pPr>
              <w:tabs>
                <w:tab w:val="left" w:pos="0"/>
              </w:tabs>
              <w:rPr>
                <w:sz w:val="16"/>
                <w:lang w:val="en-US"/>
              </w:rPr>
            </w:pPr>
            <w:r>
              <w:rPr>
                <w:sz w:val="16"/>
              </w:rPr>
              <w:t>Загрунтовать</w:t>
            </w:r>
            <w:r>
              <w:rPr>
                <w:sz w:val="16"/>
                <w:lang w:val="en-US"/>
              </w:rPr>
              <w:t xml:space="preserve"> 2 </w:t>
            </w:r>
            <w:r>
              <w:rPr>
                <w:sz w:val="16"/>
              </w:rPr>
              <w:t>слоями</w:t>
            </w:r>
            <w:r>
              <w:rPr>
                <w:sz w:val="16"/>
                <w:lang w:val="en-US"/>
              </w:rPr>
              <w:t xml:space="preserve"> Eminence High Performance Ceiling Paint </w:t>
            </w:r>
            <w:r>
              <w:rPr>
                <w:sz w:val="16"/>
              </w:rPr>
              <w:t>или</w:t>
            </w:r>
          </w:p>
          <w:p w:rsidR="005801C1" w:rsidRDefault="005801C1">
            <w:pPr>
              <w:tabs>
                <w:tab w:val="left" w:pos="0"/>
              </w:tabs>
              <w:rPr>
                <w:sz w:val="16"/>
                <w:lang w:val="en-US"/>
              </w:rPr>
            </w:pPr>
          </w:p>
          <w:p w:rsidR="005801C1" w:rsidRDefault="00874B85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>
              <w:rPr>
                <w:sz w:val="16"/>
              </w:rPr>
              <w:t>слой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ab/>
              <w:t xml:space="preserve">Premium Wall &amp; </w:t>
            </w:r>
            <w:r>
              <w:rPr>
                <w:sz w:val="16"/>
                <w:lang w:val="en-US"/>
              </w:rPr>
              <w:t>Wood Primer</w:t>
            </w:r>
          </w:p>
          <w:p w:rsidR="005801C1" w:rsidRDefault="00874B85">
            <w:pPr>
              <w:pStyle w:val="30"/>
              <w:ind w:left="1134" w:hanging="1134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 xml:space="preserve">1 </w:t>
            </w:r>
            <w:r>
              <w:rPr>
                <w:b w:val="0"/>
                <w:sz w:val="16"/>
              </w:rPr>
              <w:t>или</w:t>
            </w:r>
            <w:r>
              <w:rPr>
                <w:b w:val="0"/>
                <w:sz w:val="16"/>
                <w:lang w:val="en-US"/>
              </w:rPr>
              <w:t xml:space="preserve"> 2 </w:t>
            </w:r>
            <w:r>
              <w:rPr>
                <w:b w:val="0"/>
                <w:sz w:val="16"/>
              </w:rPr>
              <w:t>слоя</w:t>
            </w:r>
            <w:r>
              <w:rPr>
                <w:b w:val="0"/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ab/>
            </w:r>
            <w:r>
              <w:rPr>
                <w:b w:val="0"/>
                <w:sz w:val="16"/>
                <w:lang w:val="en-US"/>
              </w:rPr>
              <w:t>Eminence High Performance Ceiling Paint</w:t>
            </w:r>
          </w:p>
          <w:p w:rsidR="005801C1" w:rsidRDefault="005801C1">
            <w:pPr>
              <w:tabs>
                <w:tab w:val="left" w:pos="1132"/>
              </w:tabs>
              <w:ind w:left="1132" w:hanging="1132"/>
              <w:rPr>
                <w:sz w:val="16"/>
                <w:lang w:val="en-US"/>
              </w:rPr>
            </w:pPr>
          </w:p>
          <w:p w:rsidR="005801C1" w:rsidRDefault="00874B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того, чтобы краска легла ровным слоем, рекомендуется загрунтовать не отдельные участки, а полностью всю окрашиваемую поверхность. </w:t>
            </w:r>
          </w:p>
        </w:tc>
        <w:tc>
          <w:tcPr>
            <w:tcW w:w="1667" w:type="pct"/>
          </w:tcPr>
          <w:p w:rsidR="005801C1" w:rsidRDefault="005801C1">
            <w:pPr>
              <w:rPr>
                <w:sz w:val="16"/>
              </w:rPr>
            </w:pPr>
          </w:p>
          <w:p w:rsidR="005801C1" w:rsidRDefault="00874B85">
            <w:pPr>
              <w:pStyle w:val="9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ПОДГОТОВКА ПОВЕРХНОСТИ</w:t>
            </w:r>
          </w:p>
          <w:p w:rsidR="005801C1" w:rsidRDefault="005801C1">
            <w:pPr>
              <w:rPr>
                <w:sz w:val="16"/>
              </w:rPr>
            </w:pP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Очистить поверхность с </w:t>
            </w:r>
            <w:r>
              <w:rPr>
                <w:sz w:val="16"/>
              </w:rPr>
              <w:t>помощью подходящего чистящего средства; тщательно промыть водой и дать поверхности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матового оттенка. Пятна от в</w:t>
            </w:r>
            <w:r>
              <w:rPr>
                <w:sz w:val="16"/>
              </w:rPr>
              <w:t xml:space="preserve">оды, дыма, чернил, карандаша, жира и т.п. обработать соответствующей грунтовкой/ </w:t>
            </w:r>
            <w:proofErr w:type="spellStart"/>
            <w:r>
              <w:rPr>
                <w:sz w:val="16"/>
              </w:rPr>
              <w:t>силером</w:t>
            </w:r>
            <w:proofErr w:type="spellEnd"/>
            <w:r>
              <w:rPr>
                <w:sz w:val="16"/>
              </w:rPr>
              <w:t>.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tabs>
                <w:tab w:val="left" w:pos="2533"/>
              </w:tabs>
              <w:jc w:val="both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Гипсокартон</w:t>
            </w:r>
            <w:proofErr w:type="spellEnd"/>
          </w:p>
          <w:p w:rsidR="005801C1" w:rsidRDefault="00874B85">
            <w:pPr>
              <w:tabs>
                <w:tab w:val="left" w:pos="25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Обработать трещины и отверстия с помощью отделочной замазки/ шпатлевки и отшлифовать до гладкого состояния. Составы для наполнения швов должны быть </w:t>
            </w:r>
            <w:r>
              <w:rPr>
                <w:sz w:val="16"/>
              </w:rPr>
              <w:t>выдержаны до затвердевания и отшлифованы до гладкого состояния. Удалить всю пыль, образовавшуюся при зачистке поверхности.</w:t>
            </w:r>
          </w:p>
          <w:p w:rsidR="005801C1" w:rsidRDefault="005801C1">
            <w:pPr>
              <w:tabs>
                <w:tab w:val="left" w:pos="2533"/>
              </w:tabs>
              <w:jc w:val="both"/>
              <w:rPr>
                <w:sz w:val="16"/>
              </w:rPr>
            </w:pPr>
          </w:p>
          <w:p w:rsidR="005801C1" w:rsidRDefault="00874B8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Кирпичная/ каменная кладка, бетон, цемент</w:t>
            </w:r>
          </w:p>
          <w:p w:rsidR="005801C1" w:rsidRDefault="00874B85">
            <w:pPr>
              <w:tabs>
                <w:tab w:val="left" w:pos="25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 новые поверхности должны быть выдержаны в соответствии с рекомендациями производителя </w:t>
            </w:r>
            <w:r>
              <w:rPr>
                <w:sz w:val="16"/>
              </w:rPr>
              <w:t>– обычно в течение 30 суток. Удалить все выделения и реагенты. Необработанные шероховатые поверхности могут быть зашпаклеваны до гладкого состояния. Если процесс окраски не может быть задержан на 30 суток, дать поверхности затвердеть в течение 7 суток, а з</w:t>
            </w:r>
            <w:r>
              <w:rPr>
                <w:sz w:val="16"/>
              </w:rPr>
              <w:t xml:space="preserve">атем покрыть ее грунтовкой для бетона и кирпичной/каменной кладки </w:t>
            </w:r>
            <w:proofErr w:type="spellStart"/>
            <w:r>
              <w:rPr>
                <w:sz w:val="16"/>
                <w:lang w:val="en-US"/>
              </w:rPr>
              <w:t>Loxon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Concrete</w:t>
            </w:r>
            <w:r>
              <w:rPr>
                <w:sz w:val="16"/>
              </w:rPr>
              <w:t xml:space="preserve"> &amp; </w:t>
            </w:r>
            <w:r>
              <w:rPr>
                <w:sz w:val="16"/>
                <w:lang w:val="en-US"/>
              </w:rPr>
              <w:t>Masonry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Primer</w:t>
            </w:r>
            <w:r>
              <w:rPr>
                <w:sz w:val="16"/>
              </w:rPr>
              <w:t>.</w:t>
            </w:r>
          </w:p>
        </w:tc>
      </w:tr>
    </w:tbl>
    <w:p w:rsidR="005801C1" w:rsidRDefault="005801C1">
      <w:pPr>
        <w:pStyle w:val="a5"/>
        <w:tabs>
          <w:tab w:val="clear" w:pos="4320"/>
          <w:tab w:val="clear" w:pos="8640"/>
        </w:tabs>
        <w:sectPr w:rsidR="005801C1">
          <w:footerReference w:type="default" r:id="rId8"/>
          <w:footerReference w:type="first" r:id="rId9"/>
          <w:pgSz w:w="11906" w:h="16838"/>
          <w:pgMar w:top="576" w:right="864" w:bottom="288" w:left="1152" w:header="706" w:footer="706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40"/>
        <w:gridCol w:w="3266"/>
      </w:tblGrid>
      <w:tr w:rsidR="005801C1">
        <w:tc>
          <w:tcPr>
            <w:tcW w:w="3384" w:type="pct"/>
          </w:tcPr>
          <w:p w:rsidR="005801C1" w:rsidRDefault="00874B85">
            <w:pPr>
              <w:rPr>
                <w:b/>
                <w:caps/>
                <w:sz w:val="52"/>
                <w:szCs w:val="52"/>
                <w:lang w:val="en-US"/>
              </w:rPr>
            </w:pPr>
            <w:r>
              <w:rPr>
                <w:b/>
                <w:caps/>
                <w:sz w:val="52"/>
                <w:szCs w:val="52"/>
                <w:lang w:val="en-US"/>
              </w:rPr>
              <w:lastRenderedPageBreak/>
              <w:t xml:space="preserve">Eminence </w:t>
            </w:r>
          </w:p>
          <w:p w:rsidR="005801C1" w:rsidRDefault="00874B85">
            <w:pPr>
              <w:rPr>
                <w:lang w:val="en-US"/>
              </w:rPr>
            </w:pP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H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IGH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P</w:t>
            </w:r>
            <w:r>
              <w:rPr>
                <w:rFonts w:ascii="Arial" w:hAnsi="Arial" w:cs="Arial"/>
                <w:caps/>
                <w:sz w:val="33"/>
                <w:szCs w:val="33"/>
                <w:lang w:val="en-US" w:eastAsia="en-US"/>
              </w:rPr>
              <w:t>erformance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C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>EILING</w:t>
            </w:r>
          </w:p>
        </w:tc>
        <w:tc>
          <w:tcPr>
            <w:tcW w:w="1616" w:type="pct"/>
          </w:tcPr>
          <w:p w:rsidR="005801C1" w:rsidRDefault="00874B8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38175" cy="914400"/>
                  <wp:effectExtent l="19050" t="0" r="9525" b="0"/>
                  <wp:docPr id="2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1C1" w:rsidRDefault="00874B85" w:rsidP="00F428CF">
            <w:pPr>
              <w:jc w:val="center"/>
              <w:rPr>
                <w:sz w:val="18"/>
                <w:lang w:val="en-US"/>
              </w:rPr>
            </w:pPr>
            <w:hyperlink r:id="rId10" w:history="1"/>
          </w:p>
        </w:tc>
        <w:bookmarkStart w:id="0" w:name="_GoBack"/>
        <w:bookmarkEnd w:id="0"/>
      </w:tr>
      <w:tr w:rsidR="005801C1">
        <w:tc>
          <w:tcPr>
            <w:tcW w:w="3384" w:type="pct"/>
          </w:tcPr>
          <w:p w:rsidR="005801C1" w:rsidRDefault="00874B85">
            <w:pPr>
              <w:pStyle w:val="a6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Износостойкая Краска для Потолков</w:t>
            </w:r>
          </w:p>
          <w:p w:rsidR="005801C1" w:rsidRDefault="00874B85">
            <w:pPr>
              <w:pStyle w:val="6"/>
              <w:jc w:val="left"/>
            </w:pPr>
            <w:r>
              <w:t>A27W01815</w:t>
            </w:r>
          </w:p>
        </w:tc>
        <w:tc>
          <w:tcPr>
            <w:tcW w:w="1616" w:type="pct"/>
          </w:tcPr>
          <w:p w:rsidR="005801C1" w:rsidRDefault="005801C1">
            <w:pPr>
              <w:rPr>
                <w:b/>
                <w:bCs/>
                <w:sz w:val="28"/>
              </w:rPr>
            </w:pPr>
          </w:p>
        </w:tc>
      </w:tr>
    </w:tbl>
    <w:p w:rsidR="005801C1" w:rsidRDefault="005801C1">
      <w:pPr>
        <w:rPr>
          <w:sz w:val="16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369"/>
        <w:gridCol w:w="3369"/>
      </w:tblGrid>
      <w:tr w:rsidR="005801C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>
            <w:pPr>
              <w:jc w:val="center"/>
              <w:rPr>
                <w:b/>
                <w:bCs/>
                <w:sz w:val="16"/>
                <w:u w:val="single"/>
              </w:rPr>
            </w:pPr>
          </w:p>
          <w:p w:rsidR="005801C1" w:rsidRDefault="00874B8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u w:val="single"/>
              </w:rPr>
              <w:t>ПОДГОТОВКА ПОВЕРХНОСТИ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Штукатурка</w:t>
            </w: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Штукатурка должна быть выдержанной и твердой. </w:t>
            </w:r>
            <w:r>
              <w:rPr>
                <w:sz w:val="16"/>
              </w:rPr>
              <w:t xml:space="preserve">Текстурированную, мягкую, пористую или крошащуюся штукатурку следует обработать раствором, составленным из 1 пинты (0.47 л) хозяйственного уксуса и 1 галлона (3.785 л) воды. Повторять обработку пока поверхность не затвердеет, затем промыть ее чистой водой </w:t>
            </w:r>
            <w:r>
              <w:rPr>
                <w:sz w:val="16"/>
              </w:rPr>
              <w:t>и высушить.</w:t>
            </w:r>
          </w:p>
          <w:p w:rsidR="005801C1" w:rsidRDefault="005801C1">
            <w:pPr>
              <w:jc w:val="both"/>
              <w:rPr>
                <w:b/>
                <w:bCs/>
                <w:sz w:val="16"/>
              </w:rPr>
            </w:pPr>
          </w:p>
          <w:p w:rsidR="005801C1" w:rsidRDefault="00874B8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Дерево</w:t>
            </w: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Зачистить все наружные поверхности до свежей древесины. Зашпаклевать все отверстия и дефекты поверхности заполнителем для дерева или шпатлевкой и зачистить до гладкого состояния.</w:t>
            </w:r>
          </w:p>
          <w:p w:rsidR="005801C1" w:rsidRDefault="005801C1">
            <w:pPr>
              <w:jc w:val="both"/>
              <w:rPr>
                <w:b/>
                <w:bCs/>
                <w:sz w:val="16"/>
              </w:rPr>
            </w:pPr>
          </w:p>
          <w:p w:rsidR="005801C1" w:rsidRDefault="00874B8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Плесень</w:t>
            </w: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Удалить плесень перед покраской с помощью раство</w:t>
            </w:r>
            <w:r>
              <w:rPr>
                <w:sz w:val="16"/>
              </w:rPr>
              <w:t>ра, составленного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</w:t>
            </w:r>
            <w:r>
              <w:rPr>
                <w:sz w:val="16"/>
              </w:rPr>
              <w:t>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и воды какие-либо моющие средства или аммиак.</w:t>
            </w:r>
          </w:p>
          <w:p w:rsidR="005801C1" w:rsidRDefault="005801C1">
            <w:pPr>
              <w:jc w:val="both"/>
              <w:rPr>
                <w:b/>
                <w:bCs/>
                <w:sz w:val="16"/>
              </w:rPr>
            </w:pPr>
          </w:p>
          <w:p w:rsidR="005801C1" w:rsidRDefault="00874B8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Уплотнение щелей</w:t>
            </w: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Щели между </w:t>
            </w:r>
            <w:r>
              <w:rPr>
                <w:sz w:val="16"/>
              </w:rPr>
              <w:t xml:space="preserve">стенами, потолками, архитектурными профильными деталями и другими деталями внутренней отделки после грунтования могут быть заполнены соответствующим </w:t>
            </w:r>
            <w:proofErr w:type="spellStart"/>
            <w:r>
              <w:rPr>
                <w:sz w:val="16"/>
              </w:rPr>
              <w:t>герметиком</w:t>
            </w:r>
            <w:proofErr w:type="spellEnd"/>
            <w:r>
              <w:rPr>
                <w:sz w:val="16"/>
              </w:rPr>
              <w:t>.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НАНЕСЕНИЕ КРАСКИ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Наносить краску при температуре не ниже 10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 (50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).</w:t>
            </w: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Разбавление не требует</w:t>
            </w:r>
            <w:r>
              <w:rPr>
                <w:sz w:val="16"/>
              </w:rPr>
              <w:t>ся.</w:t>
            </w:r>
          </w:p>
          <w:p w:rsidR="005801C1" w:rsidRDefault="005801C1">
            <w:pPr>
              <w:jc w:val="both"/>
              <w:rPr>
                <w:b/>
                <w:bCs/>
                <w:sz w:val="16"/>
              </w:rPr>
            </w:pPr>
          </w:p>
          <w:p w:rsidR="005801C1" w:rsidRDefault="00874B8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Кисть</w:t>
            </w: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Использовать нейлоновую/ </w:t>
            </w:r>
            <w:proofErr w:type="spellStart"/>
            <w:r>
              <w:rPr>
                <w:sz w:val="16"/>
              </w:rPr>
              <w:t>полиэстровую</w:t>
            </w:r>
            <w:proofErr w:type="spellEnd"/>
            <w:r>
              <w:rPr>
                <w:sz w:val="16"/>
              </w:rPr>
              <w:t xml:space="preserve"> кисть.</w:t>
            </w:r>
          </w:p>
          <w:p w:rsidR="005801C1" w:rsidRDefault="005801C1">
            <w:pPr>
              <w:jc w:val="both"/>
              <w:rPr>
                <w:b/>
                <w:bCs/>
                <w:sz w:val="16"/>
              </w:rPr>
            </w:pPr>
          </w:p>
          <w:p w:rsidR="005801C1" w:rsidRDefault="00874B8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Малярный валик</w:t>
            </w: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валик с синтетическим покрытием с длиной ворса 10-19мм (3/8-3/4 дюйма).</w:t>
            </w:r>
          </w:p>
          <w:p w:rsidR="005801C1" w:rsidRDefault="005801C1">
            <w:pPr>
              <w:jc w:val="both"/>
              <w:rPr>
                <w:b/>
                <w:bCs/>
                <w:sz w:val="16"/>
              </w:rPr>
            </w:pPr>
          </w:p>
          <w:p w:rsidR="005801C1" w:rsidRDefault="00874B8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Краскопульт безвоздушного распыления</w:t>
            </w:r>
          </w:p>
          <w:p w:rsidR="005801C1" w:rsidRDefault="00874B85">
            <w:pPr>
              <w:tabs>
                <w:tab w:val="right" w:leader="dot" w:pos="315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z w:val="16"/>
              </w:rPr>
              <w:tab/>
              <w:t>2000 фунт/кв. дюйм (138 бар)</w:t>
            </w:r>
          </w:p>
          <w:p w:rsidR="005801C1" w:rsidRDefault="00874B85">
            <w:pPr>
              <w:tabs>
                <w:tab w:val="left" w:leader="dot" w:pos="131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Наконечник</w:t>
            </w:r>
            <w:r>
              <w:rPr>
                <w:sz w:val="16"/>
              </w:rPr>
              <w:tab/>
              <w:t>диаметр 0.43</w:t>
            </w:r>
            <w:r>
              <w:rPr>
                <w:sz w:val="16"/>
              </w:rPr>
              <w:t xml:space="preserve"> – 0.53 мм (0.017-0.021 дюйм)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ИНФОРМАЦИЯ ОБ ОЧИСТКЕ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После нанесения немедленно удалить проливы и брызги краски, а также отмыть инструмент теплым мыльным раствором. Помыть руки с мылом. После очистки промыть оборудование для распыления </w:t>
            </w:r>
            <w:proofErr w:type="spellStart"/>
            <w:r>
              <w:rPr>
                <w:sz w:val="16"/>
              </w:rPr>
              <w:t>уайт</w:t>
            </w:r>
            <w:proofErr w:type="spellEnd"/>
            <w:r>
              <w:rPr>
                <w:sz w:val="16"/>
              </w:rPr>
              <w:t>-спиритом, что</w:t>
            </w:r>
            <w:r>
              <w:rPr>
                <w:sz w:val="16"/>
              </w:rPr>
              <w:t xml:space="preserve"> позволит предотвратить образование ржавчины. При использовании </w:t>
            </w:r>
            <w:proofErr w:type="spellStart"/>
            <w:r>
              <w:rPr>
                <w:sz w:val="16"/>
              </w:rPr>
              <w:t>уайт</w:t>
            </w:r>
            <w:proofErr w:type="spellEnd"/>
            <w:r>
              <w:rPr>
                <w:sz w:val="16"/>
              </w:rPr>
              <w:t>-спирита следовать рекомендациям изготовителя по технике безопасности.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</w:tc>
        <w:tc>
          <w:tcPr>
            <w:tcW w:w="3369" w:type="dxa"/>
          </w:tcPr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ПРЕДУПРЕЖДЕНИЯ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только для внутренних работ.</w:t>
            </w: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Краска не обладает фотохимической активностью.</w:t>
            </w: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5801C1">
            <w:pPr>
              <w:jc w:val="both"/>
              <w:rPr>
                <w:sz w:val="16"/>
              </w:rPr>
            </w:pPr>
          </w:p>
          <w:p w:rsidR="005801C1" w:rsidRDefault="00874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Информация и рекомендации, изложенные в настоящем Листе технических данных продукта, основаны на испытаниях, проведенных компанией </w:t>
            </w:r>
            <w:r>
              <w:rPr>
                <w:sz w:val="16"/>
                <w:lang w:val="en-US"/>
              </w:rPr>
              <w:t>Sherwin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Williams</w:t>
            </w:r>
            <w:r>
              <w:rPr>
                <w:sz w:val="16"/>
              </w:rPr>
              <w:t xml:space="preserve"> или по ее заказу. Изложенные здесь информация и рекомендации могут изменяться и относятся к предлагаемом</w:t>
            </w:r>
            <w:r>
              <w:rPr>
                <w:sz w:val="16"/>
              </w:rPr>
              <w:t xml:space="preserve">у продукту на момент публикации данного документа. Чтобы получить самый последний Лист технических данных, проконсультируйтесь с местным представителем компании </w:t>
            </w:r>
            <w:r>
              <w:rPr>
                <w:sz w:val="16"/>
                <w:lang w:val="en-US"/>
              </w:rPr>
              <w:t>Sherwin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Williams</w:t>
            </w:r>
            <w:r>
              <w:rPr>
                <w:sz w:val="16"/>
              </w:rPr>
              <w:t>.</w:t>
            </w:r>
          </w:p>
        </w:tc>
      </w:tr>
    </w:tbl>
    <w:p w:rsidR="005801C1" w:rsidRDefault="005801C1"/>
    <w:sectPr w:rsidR="005801C1">
      <w:footerReference w:type="first" r:id="rId11"/>
      <w:pgSz w:w="11906" w:h="16838"/>
      <w:pgMar w:top="864" w:right="1152" w:bottom="432" w:left="864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85" w:rsidRDefault="00874B85">
      <w:pPr>
        <w:spacing w:after="0" w:line="240" w:lineRule="auto"/>
      </w:pPr>
      <w:r>
        <w:separator/>
      </w:r>
    </w:p>
  </w:endnote>
  <w:endnote w:type="continuationSeparator" w:id="0">
    <w:p w:rsidR="00874B85" w:rsidRDefault="0087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1" w:rsidRDefault="00874B85">
    <w:pPr>
      <w:pStyle w:val="a8"/>
      <w:tabs>
        <w:tab w:val="clear" w:pos="4320"/>
        <w:tab w:val="clear" w:pos="8640"/>
        <w:tab w:val="left" w:pos="2160"/>
        <w:tab w:val="right" w:pos="9890"/>
      </w:tabs>
      <w:rPr>
        <w:sz w:val="16"/>
      </w:rPr>
    </w:pPr>
    <w:r>
      <w:rPr>
        <w:sz w:val="16"/>
      </w:rPr>
      <w:tab/>
    </w:r>
    <w:r>
      <w:rPr>
        <w:sz w:val="16"/>
      </w:rPr>
      <w:tab/>
      <w:t>продолжение на обратной стороне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1" w:rsidRDefault="00874B85">
    <w:pPr>
      <w:pStyle w:val="a8"/>
      <w:tabs>
        <w:tab w:val="clear" w:pos="4320"/>
        <w:tab w:val="clear" w:pos="8640"/>
        <w:tab w:val="left" w:pos="2160"/>
        <w:tab w:val="right" w:pos="9890"/>
      </w:tabs>
      <w:rPr>
        <w:sz w:val="16"/>
      </w:rPr>
    </w:pPr>
    <w:r>
      <w:rPr>
        <w:sz w:val="16"/>
      </w:rPr>
      <w:t>2000327</w:t>
    </w:r>
    <w:r>
      <w:rPr>
        <w:sz w:val="16"/>
      </w:rPr>
      <w:tab/>
      <w:t>1/2002</w:t>
    </w:r>
    <w:r>
      <w:rPr>
        <w:sz w:val="16"/>
      </w:rPr>
      <w:tab/>
      <w:t>продолжение на обратной стороне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1" w:rsidRDefault="005801C1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85" w:rsidRDefault="00874B85">
      <w:pPr>
        <w:spacing w:after="0" w:line="240" w:lineRule="auto"/>
      </w:pPr>
      <w:r>
        <w:separator/>
      </w:r>
    </w:p>
  </w:footnote>
  <w:footnote w:type="continuationSeparator" w:id="0">
    <w:p w:rsidR="00874B85" w:rsidRDefault="00874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6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A"/>
    <w:rsid w:val="00005604"/>
    <w:rsid w:val="000150F3"/>
    <w:rsid w:val="00024298"/>
    <w:rsid w:val="0006360A"/>
    <w:rsid w:val="00063761"/>
    <w:rsid w:val="000B1A7E"/>
    <w:rsid w:val="000B3649"/>
    <w:rsid w:val="000B40E5"/>
    <w:rsid w:val="000E3CFE"/>
    <w:rsid w:val="001761EF"/>
    <w:rsid w:val="00202940"/>
    <w:rsid w:val="002551BE"/>
    <w:rsid w:val="002570A6"/>
    <w:rsid w:val="002846F4"/>
    <w:rsid w:val="002B4AF8"/>
    <w:rsid w:val="002C0F2F"/>
    <w:rsid w:val="002D0A97"/>
    <w:rsid w:val="00321B25"/>
    <w:rsid w:val="00350E3F"/>
    <w:rsid w:val="00370AB8"/>
    <w:rsid w:val="00371EB8"/>
    <w:rsid w:val="00432CEE"/>
    <w:rsid w:val="00436485"/>
    <w:rsid w:val="0045568C"/>
    <w:rsid w:val="00481581"/>
    <w:rsid w:val="005801C1"/>
    <w:rsid w:val="005B14FF"/>
    <w:rsid w:val="005E01F5"/>
    <w:rsid w:val="006A4FBC"/>
    <w:rsid w:val="00720E5D"/>
    <w:rsid w:val="00723ED5"/>
    <w:rsid w:val="00725818"/>
    <w:rsid w:val="00764F90"/>
    <w:rsid w:val="00781DE3"/>
    <w:rsid w:val="007A1242"/>
    <w:rsid w:val="007C1D32"/>
    <w:rsid w:val="007E33F1"/>
    <w:rsid w:val="007F386B"/>
    <w:rsid w:val="008036CD"/>
    <w:rsid w:val="008711B9"/>
    <w:rsid w:val="00874B85"/>
    <w:rsid w:val="008F010F"/>
    <w:rsid w:val="009030C2"/>
    <w:rsid w:val="009A155D"/>
    <w:rsid w:val="00A17682"/>
    <w:rsid w:val="00A574E1"/>
    <w:rsid w:val="00AC38DA"/>
    <w:rsid w:val="00AF32D6"/>
    <w:rsid w:val="00B25907"/>
    <w:rsid w:val="00B4535C"/>
    <w:rsid w:val="00B53BE8"/>
    <w:rsid w:val="00BC5CCB"/>
    <w:rsid w:val="00C223C9"/>
    <w:rsid w:val="00C23384"/>
    <w:rsid w:val="00CA1098"/>
    <w:rsid w:val="00DB15D4"/>
    <w:rsid w:val="00DF4408"/>
    <w:rsid w:val="00E3129F"/>
    <w:rsid w:val="00E43420"/>
    <w:rsid w:val="00E760CB"/>
    <w:rsid w:val="00EB4BC7"/>
    <w:rsid w:val="00EF09FF"/>
    <w:rsid w:val="00EF456E"/>
    <w:rsid w:val="00F17C7C"/>
    <w:rsid w:val="00F428CF"/>
    <w:rsid w:val="00F95154"/>
    <w:rsid w:val="00FE6650"/>
    <w:rsid w:val="0B4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84297F-219E-428E-B13A-F782EF92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0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8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tabs>
        <w:tab w:val="center" w:pos="1620"/>
        <w:tab w:val="right" w:pos="3152"/>
      </w:tabs>
    </w:pPr>
    <w:rPr>
      <w:sz w:val="18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rPr>
      <w:b/>
      <w:bCs/>
      <w:sz w:val="20"/>
    </w:rPr>
  </w:style>
  <w:style w:type="paragraph" w:styleId="a7">
    <w:name w:val="Body Text Indent"/>
    <w:basedOn w:val="a"/>
    <w:pPr>
      <w:tabs>
        <w:tab w:val="left" w:pos="1132"/>
      </w:tabs>
      <w:ind w:left="1132" w:hanging="1132"/>
    </w:pPr>
    <w:rPr>
      <w:sz w:val="16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30">
    <w:name w:val="Body Text 3"/>
    <w:basedOn w:val="a"/>
    <w:rPr>
      <w:b/>
      <w:bCs/>
      <w:sz w:val="18"/>
    </w:rPr>
  </w:style>
  <w:style w:type="paragraph" w:styleId="21">
    <w:name w:val="Body Text Indent 2"/>
    <w:basedOn w:val="a"/>
    <w:pPr>
      <w:tabs>
        <w:tab w:val="left" w:pos="1440"/>
      </w:tabs>
      <w:ind w:left="900" w:hanging="900"/>
      <w:jc w:val="right"/>
    </w:pPr>
    <w:rPr>
      <w:sz w:val="16"/>
    </w:rPr>
  </w:style>
  <w:style w:type="character" w:styleId="a9">
    <w:name w:val="Hyperlink"/>
    <w:basedOn w:val="a0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holicolors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Company>Sherwin-Williams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ash33c</dc:creator>
  <cp:lastModifiedBy>Яна</cp:lastModifiedBy>
  <cp:revision>6</cp:revision>
  <cp:lastPrinted>2015-07-21T13:55:00Z</cp:lastPrinted>
  <dcterms:created xsi:type="dcterms:W3CDTF">2015-07-21T13:55:00Z</dcterms:created>
  <dcterms:modified xsi:type="dcterms:W3CDTF">2020-04-24T14:07:00Z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